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21623" w14:textId="77777777" w:rsidR="00F15E68" w:rsidRDefault="001F6DD5">
      <w:r>
        <w:rPr>
          <w:noProof/>
          <w:lang w:eastAsia="nl-NL"/>
        </w:rPr>
        <w:drawing>
          <wp:anchor distT="0" distB="0" distL="114300" distR="114300" simplePos="0" relativeHeight="251659264" behindDoc="1" locked="1" layoutInCell="1" allowOverlap="0" wp14:anchorId="34D12192" wp14:editId="5601A286">
            <wp:simplePos x="0" y="0"/>
            <wp:positionH relativeFrom="page">
              <wp:posOffset>791845</wp:posOffset>
            </wp:positionH>
            <wp:positionV relativeFrom="page">
              <wp:posOffset>381635</wp:posOffset>
            </wp:positionV>
            <wp:extent cx="4143375" cy="704850"/>
            <wp:effectExtent l="19050" t="0" r="9525" b="0"/>
            <wp:wrapNone/>
            <wp:docPr id="2" name="Afbeelding 2" descr="GBOR_logo_01012011_Zwart_Raster_3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BOR_logo_01012011_Zwart_Raster_3000PX.jpg"/>
                    <pic:cNvPicPr>
                      <a:picLocks noChangeAspect="1" noChangeArrowheads="1"/>
                    </pic:cNvPicPr>
                  </pic:nvPicPr>
                  <pic:blipFill>
                    <a:blip r:embed="rId8" cstate="print"/>
                    <a:srcRect/>
                    <a:stretch>
                      <a:fillRect/>
                    </a:stretch>
                  </pic:blipFill>
                  <pic:spPr bwMode="auto">
                    <a:xfrm>
                      <a:off x="0" y="0"/>
                      <a:ext cx="4143375" cy="704850"/>
                    </a:xfrm>
                    <a:prstGeom prst="rect">
                      <a:avLst/>
                    </a:prstGeom>
                    <a:noFill/>
                    <a:ln w="9525">
                      <a:noFill/>
                      <a:miter lim="800000"/>
                      <a:headEnd/>
                      <a:tailEnd/>
                    </a:ln>
                  </pic:spPr>
                </pic:pic>
              </a:graphicData>
            </a:graphic>
          </wp:anchor>
        </w:drawing>
      </w:r>
    </w:p>
    <w:p w14:paraId="7AD813DA" w14:textId="77777777" w:rsidR="00F15E68" w:rsidRDefault="00F15E68"/>
    <w:p w14:paraId="4E7E9BEA" w14:textId="77777777" w:rsidR="00F15E68" w:rsidRDefault="00F15E68"/>
    <w:p w14:paraId="6A303473" w14:textId="77777777" w:rsidR="00F15E68" w:rsidRDefault="00F15E68">
      <w:pPr>
        <w:spacing w:line="240" w:lineRule="atLeast"/>
        <w:rPr>
          <w:szCs w:val="18"/>
        </w:rPr>
      </w:pPr>
    </w:p>
    <w:p w14:paraId="565914D0" w14:textId="77777777" w:rsidR="00F15E68" w:rsidRDefault="00F15E68">
      <w:pPr>
        <w:pStyle w:val="Koptekst"/>
      </w:pPr>
    </w:p>
    <w:p w14:paraId="32806520" w14:textId="77777777" w:rsidR="00F15E68" w:rsidRDefault="00F15E68"/>
    <w:p w14:paraId="02B4563E" w14:textId="77777777" w:rsidR="00F15E68" w:rsidRDefault="00F15E68"/>
    <w:p w14:paraId="5B5D454A" w14:textId="77777777" w:rsidR="00F15E68" w:rsidRDefault="00F15E68"/>
    <w:p w14:paraId="24380DA4" w14:textId="77777777" w:rsidR="00F15E68" w:rsidRDefault="00F15E68"/>
    <w:p w14:paraId="15700A52" w14:textId="77777777" w:rsidR="00F15E68" w:rsidRDefault="00F15E68"/>
    <w:p w14:paraId="0648B90B" w14:textId="77777777" w:rsidR="00F15E68" w:rsidRDefault="00F15E68"/>
    <w:p w14:paraId="2EEF98E3" w14:textId="77777777" w:rsidR="00F15E68" w:rsidRDefault="00F15E68"/>
    <w:tbl>
      <w:tblPr>
        <w:tblpPr w:leftFromText="142" w:rightFromText="142" w:vertAnchor="page" w:horzAnchor="page" w:tblpX="2949" w:tblpY="2439"/>
        <w:tblW w:w="0" w:type="auto"/>
        <w:tblLook w:val="04A0" w:firstRow="1" w:lastRow="0" w:firstColumn="1" w:lastColumn="0" w:noHBand="0" w:noVBand="1"/>
      </w:tblPr>
      <w:tblGrid>
        <w:gridCol w:w="3544"/>
      </w:tblGrid>
      <w:tr w:rsidR="00F15E68" w14:paraId="159D3DAF" w14:textId="77777777">
        <w:trPr>
          <w:trHeight w:val="366"/>
        </w:trPr>
        <w:tc>
          <w:tcPr>
            <w:tcW w:w="2518" w:type="dxa"/>
          </w:tcPr>
          <w:p w14:paraId="38C917A7" w14:textId="77777777" w:rsidR="00F15E68" w:rsidRDefault="001F6DD5">
            <w:pPr>
              <w:pStyle w:val="Hoofdkop"/>
            </w:pPr>
            <w:r w:rsidRPr="00E31675">
              <w:t>Raads</w:t>
            </w:r>
            <w:r>
              <w:t>informatiebrief</w:t>
            </w:r>
          </w:p>
        </w:tc>
      </w:tr>
    </w:tbl>
    <w:tbl>
      <w:tblPr>
        <w:tblpPr w:leftFromText="142" w:rightFromText="142" w:vertAnchor="page" w:tblpY="3006"/>
        <w:tblW w:w="0" w:type="auto"/>
        <w:tblLook w:val="04A0" w:firstRow="1" w:lastRow="0" w:firstColumn="1" w:lastColumn="0" w:noHBand="0" w:noVBand="1"/>
      </w:tblPr>
      <w:tblGrid>
        <w:gridCol w:w="1707"/>
        <w:gridCol w:w="6599"/>
      </w:tblGrid>
      <w:tr w:rsidR="00F15E68" w14:paraId="1C880B06" w14:textId="77777777">
        <w:tc>
          <w:tcPr>
            <w:tcW w:w="1707" w:type="dxa"/>
          </w:tcPr>
          <w:p w14:paraId="4C541826" w14:textId="77777777" w:rsidR="00F15E68" w:rsidRDefault="001F6DD5">
            <w:pPr>
              <w:jc w:val="right"/>
              <w:rPr>
                <w:sz w:val="14"/>
              </w:rPr>
            </w:pPr>
            <w:r w:rsidRPr="004B1F61">
              <w:rPr>
                <w:sz w:val="14"/>
              </w:rPr>
              <w:t>Onderwerp</w:t>
            </w:r>
          </w:p>
        </w:tc>
        <w:tc>
          <w:tcPr>
            <w:tcW w:w="6599" w:type="dxa"/>
          </w:tcPr>
          <w:p w14:paraId="512F3EC6" w14:textId="77777777" w:rsidR="00F15E68" w:rsidRDefault="001F6DD5">
            <w:pPr>
              <w:tabs>
                <w:tab w:val="left" w:pos="5010"/>
              </w:tabs>
            </w:pPr>
            <w:r w:rsidRPr="004B1F61">
              <w:t xml:space="preserve">Raadsinformatiebrief nr. </w:t>
            </w:r>
            <w:sdt>
              <w:sdtPr>
                <w:id w:val="41859454"/>
                <w:placeholder>
                  <w:docPart w:val="EDA2FBC2AB81479B815D852FFA4F61C1"/>
                </w:placeholder>
                <w:temporary/>
                <w:showingPlcHdr/>
              </w:sdtPr>
              <w:sdtEndPr/>
              <w:sdtContent>
                <w:r w:rsidR="000E713B">
                  <w:rPr>
                    <w:rStyle w:val="Tekstvantijdelijkeaanduiding"/>
                  </w:rPr>
                  <w:t>Vul nummer in</w:t>
                </w:r>
              </w:sdtContent>
            </w:sdt>
          </w:p>
        </w:tc>
      </w:tr>
      <w:tr w:rsidR="00F15E68" w14:paraId="7C6B3C6B" w14:textId="77777777">
        <w:tc>
          <w:tcPr>
            <w:tcW w:w="1707" w:type="dxa"/>
          </w:tcPr>
          <w:p w14:paraId="2A1B9788" w14:textId="77777777" w:rsidR="00F15E68" w:rsidRDefault="00F15E68">
            <w:pPr>
              <w:jc w:val="right"/>
              <w:rPr>
                <w:sz w:val="14"/>
              </w:rPr>
            </w:pPr>
          </w:p>
        </w:tc>
        <w:tc>
          <w:tcPr>
            <w:tcW w:w="6599" w:type="dxa"/>
          </w:tcPr>
          <w:p w14:paraId="7F9118A4" w14:textId="77777777" w:rsidR="00F15E68" w:rsidRDefault="001F6DD5">
            <w:r>
              <w:rPr>
                <w:noProof/>
              </w:rPr>
              <w:t>Handhaving illegale kamerverhuur</w:t>
            </w:r>
            <w:r w:rsidRPr="00EE3D38">
              <w:t xml:space="preserve"> </w:t>
            </w:r>
          </w:p>
        </w:tc>
      </w:tr>
      <w:tr w:rsidR="00F15E68" w14:paraId="25C57098" w14:textId="77777777">
        <w:tc>
          <w:tcPr>
            <w:tcW w:w="1707" w:type="dxa"/>
          </w:tcPr>
          <w:p w14:paraId="38F9C3FE" w14:textId="77777777" w:rsidR="00F15E68" w:rsidRDefault="001F6DD5">
            <w:pPr>
              <w:jc w:val="right"/>
              <w:rPr>
                <w:sz w:val="14"/>
              </w:rPr>
            </w:pPr>
            <w:r>
              <w:rPr>
                <w:sz w:val="14"/>
              </w:rPr>
              <w:t>Registratienummer</w:t>
            </w:r>
          </w:p>
        </w:tc>
        <w:tc>
          <w:tcPr>
            <w:tcW w:w="6599" w:type="dxa"/>
          </w:tcPr>
          <w:p w14:paraId="60E0A922" w14:textId="77777777" w:rsidR="00F15E68" w:rsidRDefault="001F6DD5">
            <w:r>
              <w:rPr>
                <w:noProof/>
              </w:rPr>
              <w:t>Z/21/100572</w:t>
            </w:r>
            <w:r w:rsidR="00443D40">
              <w:t xml:space="preserve"> / </w:t>
            </w:r>
            <w:r>
              <w:rPr>
                <w:noProof/>
              </w:rPr>
              <w:t>DOC-21165930</w:t>
            </w:r>
            <w:r w:rsidR="00443D40">
              <w:t xml:space="preserve"> </w:t>
            </w:r>
          </w:p>
        </w:tc>
      </w:tr>
      <w:tr w:rsidR="00F15E68" w14:paraId="46976C4B" w14:textId="77777777">
        <w:tc>
          <w:tcPr>
            <w:tcW w:w="1707" w:type="dxa"/>
          </w:tcPr>
          <w:p w14:paraId="227D38A2" w14:textId="77777777" w:rsidR="00F15E68" w:rsidRDefault="001F6DD5">
            <w:pPr>
              <w:jc w:val="right"/>
              <w:rPr>
                <w:sz w:val="14"/>
              </w:rPr>
            </w:pPr>
            <w:r w:rsidRPr="004B1F61">
              <w:rPr>
                <w:sz w:val="14"/>
              </w:rPr>
              <w:t>Datum</w:t>
            </w:r>
          </w:p>
        </w:tc>
        <w:tc>
          <w:tcPr>
            <w:tcW w:w="6599" w:type="dxa"/>
          </w:tcPr>
          <w:p w14:paraId="38F26848" w14:textId="77777777" w:rsidR="00F15E68" w:rsidRDefault="00B5092C">
            <w:r>
              <w:t xml:space="preserve"> </w:t>
            </w:r>
          </w:p>
        </w:tc>
      </w:tr>
      <w:tr w:rsidR="00F15E68" w14:paraId="07DFD065" w14:textId="77777777">
        <w:tc>
          <w:tcPr>
            <w:tcW w:w="1707" w:type="dxa"/>
          </w:tcPr>
          <w:p w14:paraId="3A2266CB" w14:textId="77777777" w:rsidR="00F15E68" w:rsidRDefault="001F6DD5">
            <w:pPr>
              <w:jc w:val="right"/>
              <w:rPr>
                <w:sz w:val="14"/>
              </w:rPr>
            </w:pPr>
            <w:r w:rsidRPr="004B1F61">
              <w:rPr>
                <w:sz w:val="14"/>
              </w:rPr>
              <w:t>Aan</w:t>
            </w:r>
          </w:p>
        </w:tc>
        <w:tc>
          <w:tcPr>
            <w:tcW w:w="6599" w:type="dxa"/>
          </w:tcPr>
          <w:p w14:paraId="54CE42A6" w14:textId="77777777" w:rsidR="00F15E68" w:rsidRDefault="001F6DD5">
            <w:r w:rsidRPr="004B1F61">
              <w:t>De leden van de gemeenteraad</w:t>
            </w:r>
          </w:p>
        </w:tc>
      </w:tr>
      <w:tr w:rsidR="00F15E68" w14:paraId="5429C4C4" w14:textId="77777777">
        <w:tc>
          <w:tcPr>
            <w:tcW w:w="1707" w:type="dxa"/>
          </w:tcPr>
          <w:p w14:paraId="304A705C" w14:textId="77777777" w:rsidR="00F15E68" w:rsidRDefault="001F6DD5">
            <w:pPr>
              <w:jc w:val="right"/>
              <w:rPr>
                <w:sz w:val="14"/>
              </w:rPr>
            </w:pPr>
            <w:r w:rsidRPr="004B1F61">
              <w:rPr>
                <w:sz w:val="14"/>
              </w:rPr>
              <w:t>Van</w:t>
            </w:r>
          </w:p>
        </w:tc>
        <w:tc>
          <w:tcPr>
            <w:tcW w:w="6599" w:type="dxa"/>
          </w:tcPr>
          <w:p w14:paraId="32C53FB5" w14:textId="77777777" w:rsidR="00F15E68" w:rsidRDefault="001F6DD5">
            <w:r w:rsidRPr="004B1F61">
              <w:t>Het college van Burgemeester en Wethouders</w:t>
            </w:r>
          </w:p>
        </w:tc>
      </w:tr>
      <w:tr w:rsidR="00F15E68" w14:paraId="07D1AA18" w14:textId="77777777">
        <w:tc>
          <w:tcPr>
            <w:tcW w:w="1707" w:type="dxa"/>
          </w:tcPr>
          <w:p w14:paraId="616E6E04" w14:textId="77777777" w:rsidR="00F15E68" w:rsidRDefault="001F6DD5">
            <w:pPr>
              <w:jc w:val="right"/>
              <w:rPr>
                <w:sz w:val="14"/>
              </w:rPr>
            </w:pPr>
            <w:r w:rsidRPr="0072607A">
              <w:rPr>
                <w:sz w:val="14"/>
              </w:rPr>
              <w:t>Portefeuillehouder</w:t>
            </w:r>
          </w:p>
        </w:tc>
        <w:tc>
          <w:tcPr>
            <w:tcW w:w="6599" w:type="dxa"/>
          </w:tcPr>
          <w:p w14:paraId="647F6EFC" w14:textId="15D80C4E" w:rsidR="00F15E68" w:rsidRDefault="00617F46">
            <w:r>
              <w:t>Dirk-Jan Knol en Jan Leendert van den Heuvel</w:t>
            </w:r>
          </w:p>
        </w:tc>
      </w:tr>
    </w:tbl>
    <w:p w14:paraId="11770774" w14:textId="77777777" w:rsidR="00F15E68" w:rsidRDefault="00F15E68"/>
    <w:p w14:paraId="1E65B17A" w14:textId="77777777" w:rsidR="00F15E68" w:rsidRDefault="00F15E68">
      <w:pPr>
        <w:rPr>
          <w:i/>
        </w:rPr>
      </w:pPr>
    </w:p>
    <w:p w14:paraId="3E5661F9" w14:textId="77777777" w:rsidR="00F15E68" w:rsidRDefault="00F15E68">
      <w:pPr>
        <w:rPr>
          <w:i/>
        </w:rPr>
      </w:pPr>
    </w:p>
    <w:p w14:paraId="12F96055" w14:textId="77777777" w:rsidR="00F15E68" w:rsidRDefault="00F15E68"/>
    <w:p w14:paraId="69CA4064" w14:textId="77777777" w:rsidR="003154EC" w:rsidRPr="00A33251" w:rsidRDefault="003154EC" w:rsidP="003154EC">
      <w:pPr>
        <w:pStyle w:val="OpmaakprofielLatijnsVerdana10ptNa0pt1"/>
        <w:spacing w:line="276" w:lineRule="auto"/>
        <w:rPr>
          <w:sz w:val="18"/>
          <w:szCs w:val="18"/>
        </w:rPr>
      </w:pPr>
      <w:r w:rsidRPr="00A33251">
        <w:rPr>
          <w:sz w:val="18"/>
          <w:szCs w:val="18"/>
        </w:rPr>
        <w:t>Geachte leden van de gemeenteraad,</w:t>
      </w:r>
    </w:p>
    <w:p w14:paraId="0F153E42" w14:textId="77777777" w:rsidR="003154EC" w:rsidRPr="00A33251" w:rsidRDefault="003154EC" w:rsidP="003154EC">
      <w:pPr>
        <w:pStyle w:val="OpmaakprofielLatijnsVerdana10ptNa0pt1"/>
        <w:spacing w:line="276" w:lineRule="auto"/>
        <w:rPr>
          <w:sz w:val="18"/>
          <w:szCs w:val="18"/>
        </w:rPr>
      </w:pPr>
    </w:p>
    <w:p w14:paraId="3D021C1B" w14:textId="77777777" w:rsidR="003154EC" w:rsidRPr="00A33251" w:rsidRDefault="003154EC" w:rsidP="003154EC">
      <w:pPr>
        <w:pStyle w:val="OpmaakprofielLatijnsVerdana10ptNa0pt1"/>
        <w:spacing w:line="276" w:lineRule="auto"/>
        <w:rPr>
          <w:sz w:val="18"/>
          <w:szCs w:val="18"/>
        </w:rPr>
      </w:pPr>
      <w:r w:rsidRPr="00A33251">
        <w:rPr>
          <w:sz w:val="18"/>
          <w:szCs w:val="18"/>
        </w:rPr>
        <w:t xml:space="preserve">In deze raadsinformatiebrief geven wij u inzicht in de stand van zaken rond het project handhaving illegale kamerbewoning arbeidsmigranten en het flankerend beleid. Onder het flankerend beleid wordt mede verstaan het creëren van passende huisvesting voor arbeidsmigranten. Dit is echter een traject, waarover in deze Raadsinformatiebrief niet wordt teruggekoppeld. De informatie-uitwisseling hierover aan de Raad, vindt plaats via een andere route. Zo wordt er 9 maart a.s. een rondetafelgesprek georganiseerd met </w:t>
      </w:r>
      <w:r>
        <w:rPr>
          <w:sz w:val="18"/>
          <w:szCs w:val="18"/>
        </w:rPr>
        <w:t xml:space="preserve">ons, </w:t>
      </w:r>
      <w:r w:rsidRPr="00A33251">
        <w:rPr>
          <w:sz w:val="18"/>
          <w:szCs w:val="18"/>
        </w:rPr>
        <w:t>leden van de gemeenteraad</w:t>
      </w:r>
      <w:r>
        <w:rPr>
          <w:sz w:val="18"/>
          <w:szCs w:val="18"/>
        </w:rPr>
        <w:t xml:space="preserve"> en</w:t>
      </w:r>
      <w:r w:rsidRPr="00A33251">
        <w:rPr>
          <w:sz w:val="18"/>
          <w:szCs w:val="18"/>
        </w:rPr>
        <w:t xml:space="preserve"> het comité voor de huisvesting van arbeidsmigranten.</w:t>
      </w:r>
    </w:p>
    <w:p w14:paraId="14FCFF25" w14:textId="77777777" w:rsidR="003154EC" w:rsidRPr="00A33251" w:rsidRDefault="003154EC" w:rsidP="003154EC">
      <w:pPr>
        <w:pStyle w:val="OpmaakprofielLatijnsVerdana10ptNa0pt1"/>
        <w:spacing w:line="276" w:lineRule="auto"/>
        <w:rPr>
          <w:sz w:val="18"/>
          <w:szCs w:val="18"/>
        </w:rPr>
      </w:pPr>
    </w:p>
    <w:p w14:paraId="48D4DEEB" w14:textId="77777777" w:rsidR="003154EC" w:rsidRPr="00A33251" w:rsidRDefault="003154EC" w:rsidP="003154EC">
      <w:pPr>
        <w:pStyle w:val="OpmaakprofielLatijnsVerdana10ptNa0pt1"/>
        <w:spacing w:line="276" w:lineRule="auto"/>
        <w:rPr>
          <w:b/>
          <w:bCs/>
          <w:sz w:val="18"/>
          <w:szCs w:val="18"/>
        </w:rPr>
      </w:pPr>
      <w:r w:rsidRPr="00A33251">
        <w:rPr>
          <w:b/>
          <w:bCs/>
          <w:sz w:val="18"/>
          <w:szCs w:val="18"/>
        </w:rPr>
        <w:t>Stand van zaken handhaving illegale kamerbewoning</w:t>
      </w:r>
    </w:p>
    <w:p w14:paraId="2978CB38" w14:textId="77777777" w:rsidR="003154EC" w:rsidRPr="00A33251" w:rsidRDefault="003154EC" w:rsidP="003154EC">
      <w:pPr>
        <w:rPr>
          <w:rFonts w:cs="Arial"/>
          <w:szCs w:val="18"/>
        </w:rPr>
      </w:pPr>
      <w:r w:rsidRPr="00A33251">
        <w:rPr>
          <w:rFonts w:cs="Arial"/>
          <w:szCs w:val="18"/>
        </w:rPr>
        <w:t xml:space="preserve">Als vervolg op Raadsinformatiebrief 2020 nr 94 van 14-10-2020 zijn inmiddels 48 adresonderzoeken afgerond van de 108. Van deze 48 adressen werden er </w:t>
      </w:r>
      <w:r>
        <w:rPr>
          <w:rFonts w:cs="Arial"/>
          <w:szCs w:val="18"/>
        </w:rPr>
        <w:t>41</w:t>
      </w:r>
      <w:r w:rsidRPr="00A33251">
        <w:rPr>
          <w:rFonts w:cs="Arial"/>
          <w:szCs w:val="18"/>
        </w:rPr>
        <w:t xml:space="preserve"> </w:t>
      </w:r>
      <w:r>
        <w:rPr>
          <w:rFonts w:cs="Arial"/>
          <w:szCs w:val="18"/>
        </w:rPr>
        <w:t>gebruikt</w:t>
      </w:r>
      <w:r w:rsidRPr="00A33251">
        <w:rPr>
          <w:rFonts w:cs="Arial"/>
          <w:szCs w:val="18"/>
        </w:rPr>
        <w:t xml:space="preserve"> conform de regels. Op de overige 7 adressen is de overtreding beëindigd. De lijst is ondertussen aangevuld met nieuwe adressen die via verschillende routes bij het project worden aangemeld. De lijst bevat nu 129 adressen, waarvan bij 85 adressen controles in uitvoering zijn. Ook panden waar kamerverhuur is toegestaan, maar waar signalen zijn dat er niet conform het bestemmingsplan of het Bouwbesluit wordt gewoond, maken onderdeel uit van de lijst. De controles hebben geleid tot de volgende resultaten:</w:t>
      </w:r>
    </w:p>
    <w:p w14:paraId="1A18E1C3" w14:textId="77777777" w:rsidR="003154EC" w:rsidRPr="00A33251" w:rsidRDefault="003154EC" w:rsidP="003154EC">
      <w:pPr>
        <w:pStyle w:val="Lijstalinea"/>
        <w:numPr>
          <w:ilvl w:val="0"/>
          <w:numId w:val="1"/>
        </w:numPr>
        <w:ind w:left="284" w:hanging="284"/>
        <w:rPr>
          <w:rFonts w:cs="Arial"/>
          <w:szCs w:val="18"/>
        </w:rPr>
      </w:pPr>
      <w:r w:rsidRPr="00A33251">
        <w:rPr>
          <w:rFonts w:cs="Arial"/>
          <w:szCs w:val="18"/>
        </w:rPr>
        <w:t>Bij de eerder genoemde 48 adressen is het onderzoek afgerond. Op deze adressen constateerden wij geen overtreding of is de overtreding beëindigd.</w:t>
      </w:r>
    </w:p>
    <w:p w14:paraId="4799B514" w14:textId="77777777" w:rsidR="003154EC" w:rsidRPr="00A33251" w:rsidRDefault="003154EC" w:rsidP="003154EC">
      <w:pPr>
        <w:pStyle w:val="Lijstalinea"/>
        <w:numPr>
          <w:ilvl w:val="0"/>
          <w:numId w:val="1"/>
        </w:numPr>
        <w:ind w:left="284" w:hanging="284"/>
        <w:rPr>
          <w:rFonts w:cs="Arial"/>
          <w:szCs w:val="18"/>
        </w:rPr>
      </w:pPr>
      <w:r w:rsidRPr="00A33251">
        <w:rPr>
          <w:rFonts w:cs="Arial"/>
          <w:szCs w:val="18"/>
        </w:rPr>
        <w:t>Bij 13 adressen loopt nu een handhavingsprocedure. Het stadium van deze handhavingsprocedures varieert van het startpunt (de constateringsbrief) tot de beroepsprocedure.</w:t>
      </w:r>
    </w:p>
    <w:p w14:paraId="6EC4A5CA" w14:textId="77777777" w:rsidR="003154EC" w:rsidRPr="00A33251" w:rsidRDefault="003154EC" w:rsidP="003154EC">
      <w:pPr>
        <w:pStyle w:val="Lijstalinea"/>
        <w:numPr>
          <w:ilvl w:val="0"/>
          <w:numId w:val="1"/>
        </w:numPr>
        <w:ind w:left="284" w:hanging="284"/>
        <w:rPr>
          <w:rFonts w:cs="Arial"/>
          <w:szCs w:val="18"/>
        </w:rPr>
      </w:pPr>
      <w:r w:rsidRPr="00A33251">
        <w:rPr>
          <w:rFonts w:cs="Arial"/>
          <w:szCs w:val="18"/>
        </w:rPr>
        <w:t xml:space="preserve">Voor 56 adressen staat een controle gepland. Sinds 15 december 2020 geldt een controlestop en wordt er, ter waarborging van de gezondheid van de toezichthouders en ter voorkoming van verspreiding van het </w:t>
      </w:r>
      <w:r>
        <w:rPr>
          <w:rFonts w:cs="Arial"/>
          <w:szCs w:val="18"/>
        </w:rPr>
        <w:t>corona</w:t>
      </w:r>
      <w:r w:rsidRPr="00A33251">
        <w:rPr>
          <w:rFonts w:cs="Arial"/>
          <w:szCs w:val="18"/>
        </w:rPr>
        <w:t>virus, alleen in panden gecontroleerd, als ons signalen bereiken dat er spoedeisende veiligheidsmaatregelen gewenst zijn.</w:t>
      </w:r>
    </w:p>
    <w:p w14:paraId="09193B4F" w14:textId="77777777" w:rsidR="003154EC" w:rsidRPr="00A33251" w:rsidRDefault="003154EC" w:rsidP="003154EC">
      <w:pPr>
        <w:pStyle w:val="Lijstalinea"/>
        <w:numPr>
          <w:ilvl w:val="0"/>
          <w:numId w:val="1"/>
        </w:numPr>
        <w:ind w:left="284" w:hanging="284"/>
        <w:rPr>
          <w:rFonts w:cs="Arial"/>
          <w:szCs w:val="18"/>
        </w:rPr>
      </w:pPr>
      <w:r w:rsidRPr="00A33251">
        <w:rPr>
          <w:rFonts w:cs="Arial"/>
          <w:szCs w:val="18"/>
        </w:rPr>
        <w:t>Op 12 adressen is nog geen onderzoek gestart.</w:t>
      </w:r>
    </w:p>
    <w:p w14:paraId="2805022B" w14:textId="77777777" w:rsidR="003154EC" w:rsidRPr="00A33251" w:rsidRDefault="003154EC" w:rsidP="003154EC">
      <w:pPr>
        <w:pStyle w:val="OpmaakprofielLatijnsVerdana10ptNa0pt1"/>
        <w:spacing w:line="276" w:lineRule="auto"/>
        <w:rPr>
          <w:sz w:val="18"/>
          <w:szCs w:val="18"/>
        </w:rPr>
      </w:pPr>
    </w:p>
    <w:p w14:paraId="6330F580" w14:textId="77777777" w:rsidR="003154EC" w:rsidRPr="00A33251" w:rsidRDefault="003154EC" w:rsidP="003154EC">
      <w:pPr>
        <w:pStyle w:val="OpmaakprofielLatijnsVerdana10ptNa0pt1"/>
        <w:spacing w:line="276" w:lineRule="auto"/>
        <w:rPr>
          <w:rFonts w:cs="Arial"/>
          <w:sz w:val="18"/>
          <w:szCs w:val="18"/>
        </w:rPr>
      </w:pPr>
      <w:r w:rsidRPr="00A33251">
        <w:rPr>
          <w:b/>
          <w:bCs/>
          <w:sz w:val="18"/>
          <w:szCs w:val="18"/>
        </w:rPr>
        <w:t>Project inschrijving BRP</w:t>
      </w:r>
    </w:p>
    <w:p w14:paraId="68470D15" w14:textId="77777777" w:rsidR="003154EC" w:rsidRPr="00A33251" w:rsidRDefault="003154EC" w:rsidP="003154EC">
      <w:pPr>
        <w:rPr>
          <w:szCs w:val="18"/>
        </w:rPr>
      </w:pPr>
      <w:r w:rsidRPr="00A33251">
        <w:rPr>
          <w:szCs w:val="18"/>
        </w:rPr>
        <w:t xml:space="preserve">In de afgelopen periode is, in samenspraak met uitzendbureaus, ingezet op het opvoeren van het niveau van inschrijvingen (BRP) van arbeidsmigranten. De ervaringen zijn positief. De inschrijving is een vast onderdeel geworden van de aanstellingsprocedure. De betrokken partijen leveren conform de afgesproken procedure en melden pro-actief. Daarnaast hebben wij meer zicht op panden, waarin door uitzendbureaus gehuisvest wordt. De komende periode ligt de focus op bezemrondes. Hierbij controleren wij alle panden, waarin door uitzenders gehuisvest wordt. Op deze manier krijgen we nog meer zicht op de feitelijke situatie en spreken we ook de huiseigenaren aan, die zich niet uit eigen beweging melden. Indien personen niet staan ingeschreven, wordt geschakeld met de handhaving van het nachtregister (zie volgende paragraaf) of worden ze alsnog begeleid naar inschrijving van hun huurders. Er zijn twee toezichthouders -gemandateerd om hiervoor controles uit te voeren. Hiermee wordt bewerkstelligd dat er efficiënter gecontroleerd wordt. Het betreft 40 adressen waarin gehuisvest wordt door uitzenders. De inspanningen van de afgelopen 4 maanden hebben geresulteerd in 43 inschrijvingen van arbeidsmigranten. Doordat er korte lijntjes zijn met andere afdelingen (team RO, </w:t>
      </w:r>
      <w:r w:rsidRPr="00A33251">
        <w:rPr>
          <w:szCs w:val="18"/>
        </w:rPr>
        <w:lastRenderedPageBreak/>
        <w:t xml:space="preserve">Burgerzaken, ODMH en BSGR), kan informatie breed benut worden binnen de organisatie. Dit motiveert marktpartijen de huisvesting van arbeidsmigranten conform de wet te laten plaatsvinden. </w:t>
      </w:r>
    </w:p>
    <w:p w14:paraId="08CDD9D1" w14:textId="77777777" w:rsidR="003154EC" w:rsidRPr="00A33251" w:rsidRDefault="003154EC" w:rsidP="003154EC">
      <w:pPr>
        <w:rPr>
          <w:szCs w:val="18"/>
        </w:rPr>
      </w:pPr>
    </w:p>
    <w:p w14:paraId="5C29CBB7" w14:textId="77777777" w:rsidR="003154EC" w:rsidRPr="00A33251" w:rsidRDefault="003154EC" w:rsidP="003154EC">
      <w:pPr>
        <w:rPr>
          <w:b/>
          <w:bCs/>
          <w:szCs w:val="18"/>
        </w:rPr>
      </w:pPr>
      <w:r w:rsidRPr="00A33251">
        <w:rPr>
          <w:b/>
          <w:bCs/>
          <w:szCs w:val="18"/>
        </w:rPr>
        <w:t>Heffing toeristenbelasting</w:t>
      </w:r>
    </w:p>
    <w:p w14:paraId="4A790C70" w14:textId="77777777" w:rsidR="003154EC" w:rsidRPr="00A33251" w:rsidRDefault="003154EC" w:rsidP="003154EC">
      <w:pPr>
        <w:pStyle w:val="OpmaakprofielLatijnsVerdana10ptNa0pt1"/>
        <w:spacing w:line="276" w:lineRule="auto"/>
        <w:rPr>
          <w:sz w:val="18"/>
          <w:szCs w:val="18"/>
        </w:rPr>
      </w:pPr>
      <w:r w:rsidRPr="00A33251">
        <w:rPr>
          <w:sz w:val="18"/>
          <w:szCs w:val="18"/>
        </w:rPr>
        <w:t>Eind april 2020 is een waarschuwingsbrief verzonden naar alle partijen die betrokken zijn bij de huisvesting van arbeidsmigranten. Daarbij is aangekondigd dat, als men bewoners niet inschrijft, er toeristenbelasting geheven gaat worden. Als er geen nachtregister is bijgehouden, zal op basis van een forfaitaire berekening de verschuldigde toeristenbelasting worden aangeslagen. Dit kan resulteren in een hoog bedrag (namelijk, het aantal slaapplaatsen keer 288 keer 3,05 euro per nacht). Hiermee wordt bewerkstelligd dat eigenaren hun huurders aansporen zich in te schrijven in de BRP en bij tijdelijke huisvesting (korter dan vier maanden) toeristenbelasting betalen. Deze werkwijze wordt ingezet. De resultaten zijn nog niet binnen.</w:t>
      </w:r>
    </w:p>
    <w:p w14:paraId="20DF002D" w14:textId="77777777" w:rsidR="003154EC" w:rsidRPr="00A33251" w:rsidRDefault="003154EC" w:rsidP="003154EC">
      <w:pPr>
        <w:pStyle w:val="OpmaakprofielLatijnsVerdana10ptNa0pt1"/>
        <w:spacing w:line="276" w:lineRule="auto"/>
        <w:rPr>
          <w:sz w:val="18"/>
          <w:szCs w:val="18"/>
        </w:rPr>
      </w:pPr>
    </w:p>
    <w:p w14:paraId="26168FDF" w14:textId="77777777" w:rsidR="003154EC" w:rsidRPr="00A33251" w:rsidRDefault="003154EC" w:rsidP="003154EC">
      <w:pPr>
        <w:pStyle w:val="OpmaakprofielLatijnsVerdana10ptNa0pt1"/>
        <w:spacing w:line="276" w:lineRule="auto"/>
        <w:rPr>
          <w:b/>
          <w:bCs/>
          <w:sz w:val="18"/>
          <w:szCs w:val="18"/>
        </w:rPr>
      </w:pPr>
      <w:r w:rsidRPr="00A33251">
        <w:rPr>
          <w:b/>
          <w:bCs/>
          <w:sz w:val="18"/>
          <w:szCs w:val="18"/>
        </w:rPr>
        <w:t>Vergunningverlening obv Huisvestingsverordening</w:t>
      </w:r>
    </w:p>
    <w:p w14:paraId="4A9A2977" w14:textId="77777777" w:rsidR="003154EC" w:rsidRPr="00A33251" w:rsidRDefault="003154EC" w:rsidP="003154EC">
      <w:pPr>
        <w:pStyle w:val="OpmaakprofielLatijnsVerdana10ptNa0pt1"/>
        <w:spacing w:line="276" w:lineRule="auto"/>
        <w:rPr>
          <w:sz w:val="18"/>
          <w:szCs w:val="18"/>
        </w:rPr>
      </w:pPr>
      <w:r w:rsidRPr="00A33251">
        <w:rPr>
          <w:sz w:val="18"/>
          <w:szCs w:val="18"/>
        </w:rPr>
        <w:t xml:space="preserve">Kamerverhuur (in de huisvestingsverordening ‘onzelfstandige bewoning’ genoemd) kan, naast het bestemmingsplan, ook worden gehandhaafd op grond van de Huisvestingsverordening Bodegraven-Reeuwijk 2019. Bij deze vorm van handhaving wordt rekening gehouden met overlast vanuit het pand. Bij handhaving op grond van het bestemmingplan kan hiermee geen rekening worden gehouden. Daarom is het beter de handhaving te baseren op de Huisvestingsverordening. Daarnaast verbinden we voorwaarden aan het verlenen van een kamerverhuurvergunning (in de verordening ‘omzettingsvergunning’ genaamd). Zo zullen we, ter invulling van het begrip ‘goed verhuurderschap’ (artikel 28 onder d van de Huisvestingsverordening) een huurcontract tussen pandeigenaar en huisvester/arbeidsmigrant eisen. Hiermee versterken wij de rechtspositie van arbeidsmigranten (een van de aanbevelingen van het, door het kabinet ingestelde, Aanjaagteam bescherming arbeidsmigranten). Ook laten we ter bestrijding van ondermijning een Bibob-toets uitvoeren bij pandeigenaren (obv de Wet Bevordering integriteitsbeoordelingen door het openbaar bestuur). Ook kan advies worden gevraagd aan het Landelijk Bureau Bibob (het LBB). Het LBB heeft toegang tot politieregisters en belastinggegevens. De vergunningverlening wordt belegd bij de ODMH. Alle pandeigenaren, die onder het overgangsrecht vallen, krijgen een vergunning. Daarna start de ODMH met het toezicht en de handhaving op het zonder vergunning verhuren van kamers. </w:t>
      </w:r>
    </w:p>
    <w:p w14:paraId="173590B3" w14:textId="77777777" w:rsidR="003154EC" w:rsidRPr="00A33251" w:rsidRDefault="003154EC" w:rsidP="003154EC">
      <w:pPr>
        <w:pStyle w:val="OpmaakprofielLatijnsVerdana10ptNa0pt1"/>
        <w:spacing w:line="276" w:lineRule="auto"/>
        <w:rPr>
          <w:sz w:val="18"/>
          <w:szCs w:val="18"/>
        </w:rPr>
      </w:pPr>
    </w:p>
    <w:p w14:paraId="7CFCEE07" w14:textId="77777777" w:rsidR="003154EC" w:rsidRPr="00A33251" w:rsidRDefault="003154EC" w:rsidP="003154EC">
      <w:pPr>
        <w:pStyle w:val="OpmaakprofielLatijnsVerdana10ptNa0pt1"/>
        <w:spacing w:line="276" w:lineRule="auto"/>
        <w:rPr>
          <w:b/>
          <w:bCs/>
          <w:sz w:val="18"/>
          <w:szCs w:val="18"/>
        </w:rPr>
      </w:pPr>
      <w:r w:rsidRPr="00A33251">
        <w:rPr>
          <w:b/>
          <w:bCs/>
          <w:sz w:val="18"/>
          <w:szCs w:val="18"/>
        </w:rPr>
        <w:t>Infopunt arbeidsmigranten</w:t>
      </w:r>
    </w:p>
    <w:p w14:paraId="0E447BEE" w14:textId="1D0402ED" w:rsidR="003154EC" w:rsidRPr="00A33251" w:rsidRDefault="003154EC" w:rsidP="003154EC">
      <w:pPr>
        <w:rPr>
          <w:szCs w:val="18"/>
        </w:rPr>
      </w:pPr>
      <w:r w:rsidRPr="00A33251">
        <w:rPr>
          <w:szCs w:val="18"/>
        </w:rPr>
        <w:t>Om arbeidsmigranten te laten integreren in onze gemeente, is het van belang dat zij antwoorden krijgen op allerhande praktische vragen. Doordat zij de Nederlandse taal niet (goed) beheersen, gaat dit moeizaam. Een Informatiepunt, waarbij de arbeidsmigrant terecht kan voor antwoorden, biedt per</w:t>
      </w:r>
      <w:r>
        <w:rPr>
          <w:szCs w:val="18"/>
        </w:rPr>
        <w:t>s</w:t>
      </w:r>
      <w:r w:rsidRPr="00A33251">
        <w:rPr>
          <w:szCs w:val="18"/>
        </w:rPr>
        <w:t xml:space="preserve">pectief. De drempel om contact te zoeken met de gemeente is voor veel arbeidsmigranten te hoog. We zijn daarom in gesprek met o.a. de eigenaresse van de Poolse supermarkt, om met haar een informatiepunt op te zetten. We maken daarbij ook gebruik van social media, bijvoorbeeld door een facebookgroep in het Pools en </w:t>
      </w:r>
      <w:r>
        <w:rPr>
          <w:szCs w:val="18"/>
        </w:rPr>
        <w:t xml:space="preserve">het opzetten van </w:t>
      </w:r>
      <w:r w:rsidRPr="00A33251">
        <w:rPr>
          <w:szCs w:val="18"/>
        </w:rPr>
        <w:t xml:space="preserve">een emailadres waar arbeidsmigranten in het Pools met vragen terecht kunnen. Hiermee wordt de drempel verlaagd. </w:t>
      </w:r>
    </w:p>
    <w:p w14:paraId="745316D3" w14:textId="77777777" w:rsidR="003154EC" w:rsidRDefault="003154EC" w:rsidP="003154EC">
      <w:pPr>
        <w:rPr>
          <w:szCs w:val="18"/>
        </w:rPr>
      </w:pPr>
    </w:p>
    <w:p w14:paraId="329F93CA" w14:textId="77777777" w:rsidR="003154EC" w:rsidRPr="00A33251" w:rsidRDefault="003154EC" w:rsidP="003154EC">
      <w:pPr>
        <w:rPr>
          <w:szCs w:val="18"/>
        </w:rPr>
      </w:pPr>
      <w:r w:rsidRPr="00A33251">
        <w:rPr>
          <w:szCs w:val="18"/>
        </w:rPr>
        <w:t>Naast een informatiepunt voor arbeidsmigranten, is er ook behoefte aan een informatiepunt voor andere betrokkenen dan de arbeidsmigrant. Denk hierbij aan informatievoorziening voor uitzendbureaus, huisvesters, corporaties of inwoners van de gemeente. Voor dit informatiepunt is de gemeente wel de meest logische instantie. Dit wordt ingericht.</w:t>
      </w:r>
    </w:p>
    <w:p w14:paraId="2EF57F08" w14:textId="77777777" w:rsidR="003154EC" w:rsidRPr="00A33251" w:rsidRDefault="003154EC" w:rsidP="003154EC">
      <w:pPr>
        <w:rPr>
          <w:szCs w:val="18"/>
        </w:rPr>
      </w:pPr>
    </w:p>
    <w:p w14:paraId="1B1716CC" w14:textId="77777777" w:rsidR="003154EC" w:rsidRPr="00A33251" w:rsidRDefault="003154EC" w:rsidP="003154EC">
      <w:pPr>
        <w:rPr>
          <w:b/>
          <w:bCs/>
          <w:szCs w:val="18"/>
        </w:rPr>
      </w:pPr>
      <w:r w:rsidRPr="00A33251">
        <w:rPr>
          <w:b/>
          <w:bCs/>
          <w:szCs w:val="18"/>
        </w:rPr>
        <w:t>Vervolg</w:t>
      </w:r>
    </w:p>
    <w:p w14:paraId="5FD24F1F" w14:textId="77777777" w:rsidR="003154EC" w:rsidRPr="00A33251" w:rsidRDefault="003154EC" w:rsidP="003154EC">
      <w:pPr>
        <w:rPr>
          <w:szCs w:val="18"/>
        </w:rPr>
      </w:pPr>
      <w:r w:rsidRPr="00A33251">
        <w:rPr>
          <w:szCs w:val="18"/>
        </w:rPr>
        <w:t>De afgelopen periode is er veel energie gestoken in het organiseren van de aanpak op bovengenoemde onderwerpen. De komende tijd plukken wij hier de vruchten van. Eind mei 2021 zal aan u nog een informatiebrief worden gezonden, waarin u over de voortgang van het project wordt geïnformeerd.    </w:t>
      </w:r>
    </w:p>
    <w:p w14:paraId="22324F40" w14:textId="77777777" w:rsidR="003154EC" w:rsidRPr="00A33251" w:rsidRDefault="003154EC" w:rsidP="003154EC">
      <w:pPr>
        <w:rPr>
          <w:szCs w:val="18"/>
        </w:rPr>
      </w:pPr>
    </w:p>
    <w:p w14:paraId="7F170ECE" w14:textId="77777777" w:rsidR="003154EC" w:rsidRPr="00A33251" w:rsidRDefault="003154EC" w:rsidP="003154EC">
      <w:pPr>
        <w:rPr>
          <w:szCs w:val="18"/>
        </w:rPr>
      </w:pPr>
      <w:r w:rsidRPr="00A33251">
        <w:rPr>
          <w:szCs w:val="18"/>
        </w:rPr>
        <w:t>Burgemeester en wethouders van Bodegraven-Reeuwijk,</w:t>
      </w:r>
    </w:p>
    <w:p w14:paraId="329FFCC2" w14:textId="77777777" w:rsidR="003154EC" w:rsidRPr="00A33251" w:rsidRDefault="003154EC" w:rsidP="003154EC">
      <w:pPr>
        <w:rPr>
          <w:szCs w:val="18"/>
        </w:rPr>
      </w:pPr>
    </w:p>
    <w:tbl>
      <w:tblPr>
        <w:tblW w:w="0" w:type="auto"/>
        <w:tblLook w:val="04A0" w:firstRow="1" w:lastRow="0" w:firstColumn="1" w:lastColumn="0" w:noHBand="0" w:noVBand="1"/>
      </w:tblPr>
      <w:tblGrid>
        <w:gridCol w:w="4606"/>
        <w:gridCol w:w="4606"/>
      </w:tblGrid>
      <w:tr w:rsidR="003154EC" w:rsidRPr="00A33251" w14:paraId="6A3BED76" w14:textId="77777777" w:rsidTr="008B031C">
        <w:tc>
          <w:tcPr>
            <w:tcW w:w="4606" w:type="dxa"/>
            <w:hideMark/>
          </w:tcPr>
          <w:p w14:paraId="3EB06522" w14:textId="77777777" w:rsidR="003154EC" w:rsidRPr="00A33251" w:rsidRDefault="003154EC" w:rsidP="008B031C">
            <w:pPr>
              <w:pStyle w:val="OpmaakprofielLatijnsVerdana10ptNa0pt1"/>
              <w:spacing w:line="276" w:lineRule="auto"/>
              <w:rPr>
                <w:sz w:val="18"/>
                <w:szCs w:val="18"/>
              </w:rPr>
            </w:pPr>
            <w:r w:rsidRPr="00A33251">
              <w:rPr>
                <w:sz w:val="18"/>
                <w:szCs w:val="18"/>
              </w:rPr>
              <w:t>De secretaris,</w:t>
            </w:r>
          </w:p>
        </w:tc>
        <w:tc>
          <w:tcPr>
            <w:tcW w:w="4606" w:type="dxa"/>
            <w:hideMark/>
          </w:tcPr>
          <w:p w14:paraId="1024AE35" w14:textId="77777777" w:rsidR="003154EC" w:rsidRPr="00A33251" w:rsidRDefault="003154EC" w:rsidP="008B031C">
            <w:pPr>
              <w:pStyle w:val="OpmaakprofielLatijnsVerdana10ptNa0pt1"/>
              <w:spacing w:line="276" w:lineRule="auto"/>
              <w:rPr>
                <w:sz w:val="18"/>
                <w:szCs w:val="18"/>
              </w:rPr>
            </w:pPr>
            <w:r w:rsidRPr="00A33251">
              <w:rPr>
                <w:sz w:val="18"/>
                <w:szCs w:val="18"/>
              </w:rPr>
              <w:t>De burgemeester,</w:t>
            </w:r>
          </w:p>
        </w:tc>
      </w:tr>
      <w:tr w:rsidR="003154EC" w:rsidRPr="00A33251" w14:paraId="0563DE8E" w14:textId="77777777" w:rsidTr="008B031C">
        <w:tc>
          <w:tcPr>
            <w:tcW w:w="4606" w:type="dxa"/>
          </w:tcPr>
          <w:p w14:paraId="1811A947" w14:textId="77777777" w:rsidR="003154EC" w:rsidRPr="00A33251" w:rsidRDefault="003154EC" w:rsidP="008B031C">
            <w:pPr>
              <w:pStyle w:val="OpmaakprofielLatijnsVerdana10ptNa0pt1"/>
              <w:spacing w:line="276" w:lineRule="auto"/>
              <w:rPr>
                <w:sz w:val="18"/>
                <w:szCs w:val="18"/>
              </w:rPr>
            </w:pPr>
          </w:p>
        </w:tc>
        <w:tc>
          <w:tcPr>
            <w:tcW w:w="4606" w:type="dxa"/>
          </w:tcPr>
          <w:p w14:paraId="7897C15C" w14:textId="77777777" w:rsidR="003154EC" w:rsidRPr="00A33251" w:rsidRDefault="003154EC" w:rsidP="008B031C">
            <w:pPr>
              <w:pStyle w:val="OpmaakprofielLatijnsVerdana10ptNa0pt1"/>
              <w:spacing w:line="276" w:lineRule="auto"/>
              <w:rPr>
                <w:sz w:val="18"/>
                <w:szCs w:val="18"/>
              </w:rPr>
            </w:pPr>
          </w:p>
          <w:p w14:paraId="70E1EBF1" w14:textId="77777777" w:rsidR="003154EC" w:rsidRPr="00A33251" w:rsidRDefault="003154EC" w:rsidP="008B031C">
            <w:pPr>
              <w:pStyle w:val="OpmaakprofielLatijnsVerdana10ptNa0pt1"/>
              <w:spacing w:line="276" w:lineRule="auto"/>
              <w:rPr>
                <w:sz w:val="18"/>
                <w:szCs w:val="18"/>
              </w:rPr>
            </w:pPr>
          </w:p>
          <w:p w14:paraId="262570C4" w14:textId="77777777" w:rsidR="003154EC" w:rsidRPr="00A33251" w:rsidRDefault="003154EC" w:rsidP="008B031C">
            <w:pPr>
              <w:pStyle w:val="OpmaakprofielLatijnsVerdana10ptNa0pt1"/>
              <w:spacing w:line="276" w:lineRule="auto"/>
              <w:rPr>
                <w:sz w:val="18"/>
                <w:szCs w:val="18"/>
              </w:rPr>
            </w:pPr>
          </w:p>
        </w:tc>
      </w:tr>
      <w:tr w:rsidR="003154EC" w:rsidRPr="00A33251" w14:paraId="4986846D" w14:textId="77777777" w:rsidTr="008B031C">
        <w:tc>
          <w:tcPr>
            <w:tcW w:w="4606" w:type="dxa"/>
            <w:hideMark/>
          </w:tcPr>
          <w:p w14:paraId="635DAEC6" w14:textId="77777777" w:rsidR="003154EC" w:rsidRPr="00A33251" w:rsidRDefault="003154EC" w:rsidP="008B031C">
            <w:pPr>
              <w:pStyle w:val="OpmaakprofielLatijnsVerdana10ptNa0pt1"/>
              <w:spacing w:line="276" w:lineRule="auto"/>
              <w:rPr>
                <w:sz w:val="18"/>
                <w:szCs w:val="18"/>
              </w:rPr>
            </w:pPr>
            <w:r w:rsidRPr="00A33251">
              <w:rPr>
                <w:sz w:val="18"/>
                <w:szCs w:val="18"/>
              </w:rPr>
              <w:t xml:space="preserve">Drs. J.G. de Jager </w:t>
            </w:r>
          </w:p>
        </w:tc>
        <w:tc>
          <w:tcPr>
            <w:tcW w:w="4606" w:type="dxa"/>
            <w:hideMark/>
          </w:tcPr>
          <w:p w14:paraId="1C06BCD2" w14:textId="77777777" w:rsidR="003154EC" w:rsidRPr="00A33251" w:rsidRDefault="003154EC" w:rsidP="008B031C">
            <w:pPr>
              <w:pStyle w:val="OpmaakprofielLatijnsVerdana10ptNa0pt1"/>
              <w:spacing w:line="276" w:lineRule="auto"/>
              <w:rPr>
                <w:sz w:val="18"/>
                <w:szCs w:val="18"/>
              </w:rPr>
            </w:pPr>
            <w:r w:rsidRPr="00A33251">
              <w:rPr>
                <w:sz w:val="18"/>
                <w:szCs w:val="18"/>
              </w:rPr>
              <w:t>mr. C. van der Kamp</w:t>
            </w:r>
          </w:p>
        </w:tc>
      </w:tr>
    </w:tbl>
    <w:p w14:paraId="1A4A70AB" w14:textId="77777777" w:rsidR="00F15E68" w:rsidRDefault="00F15E68" w:rsidP="003154EC">
      <w:pPr>
        <w:pStyle w:val="OpmaakprofielLatijnsVerdana10ptNa0pt1"/>
        <w:spacing w:line="276" w:lineRule="auto"/>
      </w:pPr>
    </w:p>
    <w:sectPr w:rsidR="00F15E68">
      <w:headerReference w:type="even" r:id="rId9"/>
      <w:headerReference w:type="default" r:id="rId10"/>
      <w:footerReference w:type="even" r:id="rId11"/>
      <w:footerReference w:type="default" r:id="rId12"/>
      <w:headerReference w:type="first" r:id="rId13"/>
      <w:footerReference w:type="first" r:id="rId14"/>
      <w:pgSz w:w="11906" w:h="16838" w:code="9"/>
      <w:pgMar w:top="907" w:right="1247" w:bottom="907"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3EAE4" w14:textId="77777777" w:rsidR="001C1955" w:rsidRDefault="001C1955" w:rsidP="00721228">
      <w:pPr>
        <w:spacing w:line="240" w:lineRule="auto"/>
      </w:pPr>
      <w:r>
        <w:separator/>
      </w:r>
    </w:p>
  </w:endnote>
  <w:endnote w:type="continuationSeparator" w:id="0">
    <w:p w14:paraId="5FE02F00" w14:textId="77777777" w:rsidR="001C1955" w:rsidRDefault="001C1955" w:rsidP="00721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cos Code 39">
    <w:panose1 w:val="00000409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3C3F" w14:textId="77777777" w:rsidR="0094371E" w:rsidRDefault="009437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702" w:tblpY="15934"/>
      <w:tblW w:w="8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298"/>
      <w:gridCol w:w="7185"/>
    </w:tblGrid>
    <w:tr w:rsidR="00F15E68" w14:paraId="1442E498" w14:textId="77777777">
      <w:tc>
        <w:tcPr>
          <w:tcW w:w="944" w:type="dxa"/>
          <w:tcBorders>
            <w:top w:val="nil"/>
            <w:left w:val="nil"/>
            <w:bottom w:val="nil"/>
            <w:right w:val="nil"/>
          </w:tcBorders>
        </w:tcPr>
        <w:p w14:paraId="00200D82" w14:textId="77777777" w:rsidR="00F15E68" w:rsidRDefault="001F6DD5">
          <w:pPr>
            <w:pStyle w:val="Adressering"/>
            <w:tabs>
              <w:tab w:val="left" w:pos="2048"/>
            </w:tabs>
            <w:rPr>
              <w:sz w:val="18"/>
            </w:rPr>
          </w:pPr>
          <w:r w:rsidRPr="003B0990">
            <w:t xml:space="preserve">Pagina </w:t>
          </w:r>
          <w:r>
            <w:fldChar w:fldCharType="begin"/>
          </w:r>
          <w:r>
            <w:instrText>PAGE</w:instrText>
          </w:r>
          <w:r>
            <w:fldChar w:fldCharType="separate"/>
          </w:r>
          <w:r w:rsidR="00443D40">
            <w:rPr>
              <w:noProof/>
            </w:rPr>
            <w:t>2</w:t>
          </w:r>
          <w:r>
            <w:rPr>
              <w:noProof/>
            </w:rPr>
            <w:fldChar w:fldCharType="end"/>
          </w:r>
          <w:r>
            <w:t>/</w:t>
          </w:r>
          <w:r>
            <w:fldChar w:fldCharType="begin"/>
          </w:r>
          <w:r>
            <w:instrText>NUMPAGES</w:instrText>
          </w:r>
          <w:r>
            <w:fldChar w:fldCharType="separate"/>
          </w:r>
          <w:r w:rsidR="00443D40">
            <w:rPr>
              <w:noProof/>
            </w:rPr>
            <w:t>2</w:t>
          </w:r>
          <w:r>
            <w:rPr>
              <w:noProof/>
            </w:rPr>
            <w:fldChar w:fldCharType="end"/>
          </w:r>
        </w:p>
      </w:tc>
      <w:tc>
        <w:tcPr>
          <w:tcW w:w="298" w:type="dxa"/>
          <w:tcBorders>
            <w:top w:val="nil"/>
            <w:left w:val="nil"/>
            <w:bottom w:val="nil"/>
            <w:right w:val="nil"/>
          </w:tcBorders>
        </w:tcPr>
        <w:p w14:paraId="68B2EC7F" w14:textId="77777777" w:rsidR="00F15E68" w:rsidRDefault="00F15E68">
          <w:pPr>
            <w:pStyle w:val="Adressering"/>
            <w:tabs>
              <w:tab w:val="left" w:pos="2048"/>
            </w:tabs>
            <w:ind w:left="846"/>
            <w:jc w:val="center"/>
            <w:rPr>
              <w:sz w:val="18"/>
            </w:rPr>
          </w:pPr>
        </w:p>
      </w:tc>
      <w:tc>
        <w:tcPr>
          <w:tcW w:w="7185" w:type="dxa"/>
          <w:tcBorders>
            <w:top w:val="nil"/>
            <w:left w:val="nil"/>
            <w:bottom w:val="nil"/>
            <w:right w:val="nil"/>
          </w:tcBorders>
        </w:tcPr>
        <w:p w14:paraId="3327ADCA" w14:textId="77777777" w:rsidR="00F15E68" w:rsidRDefault="001F6DD5">
          <w:pPr>
            <w:pStyle w:val="Adressering"/>
          </w:pPr>
          <w:r>
            <w:t>Raadsinformatiebrief</w:t>
          </w:r>
          <w:r w:rsidR="00AB45F6">
            <w:t xml:space="preserve"> </w:t>
          </w:r>
          <w:r>
            <w:rPr>
              <w:noProof/>
            </w:rPr>
            <w:t>Z/21/100572</w:t>
          </w:r>
          <w:r w:rsidR="00443D40">
            <w:t xml:space="preserve"> / </w:t>
          </w:r>
          <w:r>
            <w:rPr>
              <w:noProof/>
            </w:rPr>
            <w:t>DOC-21165930</w:t>
          </w:r>
          <w:r w:rsidR="00443D40">
            <w:t xml:space="preserve"> </w:t>
          </w:r>
        </w:p>
      </w:tc>
    </w:tr>
  </w:tbl>
  <w:p w14:paraId="65485643" w14:textId="77777777" w:rsidR="00F15E68" w:rsidRDefault="00F15E68">
    <w:pPr>
      <w:pStyle w:val="Adressering"/>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245C" w14:textId="77777777" w:rsidR="0094371E" w:rsidRDefault="009437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B727E" w14:textId="77777777" w:rsidR="001C1955" w:rsidRDefault="001C1955" w:rsidP="00721228">
      <w:pPr>
        <w:spacing w:line="240" w:lineRule="auto"/>
      </w:pPr>
      <w:r>
        <w:separator/>
      </w:r>
    </w:p>
  </w:footnote>
  <w:footnote w:type="continuationSeparator" w:id="0">
    <w:p w14:paraId="626F29FB" w14:textId="77777777" w:rsidR="001C1955" w:rsidRDefault="001C1955" w:rsidP="00721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54F3" w14:textId="77777777" w:rsidR="0094371E" w:rsidRDefault="009437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EF72" w14:textId="77777777" w:rsidR="00427DEC" w:rsidRPr="00611FA6" w:rsidRDefault="00427DEC" w:rsidP="009E7A8C">
    <w:pPr>
      <w:spacing w:line="240" w:lineRule="atLeast"/>
      <w:rPr>
        <w:szCs w:val="18"/>
      </w:rPr>
    </w:pPr>
  </w:p>
  <w:p w14:paraId="60C6D06A" w14:textId="77777777" w:rsidR="00427DEC" w:rsidRDefault="00427D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96" w14:textId="77777777" w:rsidR="00F15E68" w:rsidRDefault="002963DA">
    <w:pPr>
      <w:pStyle w:val="Koptekst"/>
    </w:pPr>
    <w:r>
      <w:rPr>
        <w:noProof/>
      </w:rPr>
      <w:pict w14:anchorId="74A31984">
        <v:shapetype id="_x0000_t202" coordsize="21600,21600" o:spt="202" path="m,l,21600r21600,l21600,xe">
          <v:stroke joinstyle="miter"/>
          <v:path gradientshapeok="t" o:connecttype="rect"/>
        </v:shapetype>
        <v:shape id="_x0000_s2049" type="#_x0000_t202" style="position:absolute;margin-left:-53.35pt;margin-top:206.65pt;width:22.4pt;height:512.55pt;z-index:251660288;mso-width-relative:margin;mso-height-relative:margin" stroked="f">
          <v:textbox style="layout-flow:vertical">
            <w:txbxContent>
              <w:p w14:paraId="3016D331" w14:textId="77777777" w:rsidR="00F15E68" w:rsidRDefault="002963DA">
                <w:pPr>
                  <w:rPr>
                    <w:sz w:val="72"/>
                    <w:szCs w:val="72"/>
                  </w:rPr>
                </w:pPr>
                <w:r>
                  <w:fldChar w:fldCharType="begin"/>
                </w:r>
                <w:r>
                  <w:instrText xml:space="preserve"> COMMENTS * \* MERGEFORMAT </w:instrText>
                </w:r>
                <w:r>
                  <w:fldChar w:fldCharType="separate"/>
                </w:r>
                <w:r w:rsidR="0094371E" w:rsidRPr="0094371E">
                  <w:rPr>
                    <w:rFonts w:ascii="Decos Code 39" w:hAnsi="Decos Code 39"/>
                    <w:sz w:val="72"/>
                    <w:szCs w:val="72"/>
                  </w:rPr>
                  <w:t>*</w:t>
                </w:r>
                <w:r>
                  <w:rPr>
                    <w:rFonts w:ascii="Decos Code 39" w:hAnsi="Decos Code 39"/>
                    <w:sz w:val="72"/>
                    <w:szCs w:val="72"/>
                  </w:rPr>
                  <w:fldChar w:fldCharType="end"/>
                </w:r>
                <w:r w:rsidR="001F6DD5">
                  <w:rPr>
                    <w:rFonts w:ascii="Decos Code 39" w:hAnsi="Decos Code 39"/>
                    <w:noProof/>
                    <w:sz w:val="72"/>
                    <w:szCs w:val="72"/>
                  </w:rPr>
                  <w:t>Z073A5A794C</w:t>
                </w:r>
                <w:r>
                  <w:fldChar w:fldCharType="begin"/>
                </w:r>
                <w:r>
                  <w:instrText xml:space="preserve"> COMMENTS * \* MERGEFORMAT </w:instrText>
                </w:r>
                <w:r>
                  <w:fldChar w:fldCharType="separate"/>
                </w:r>
                <w:r w:rsidR="0094371E" w:rsidRPr="0094371E">
                  <w:rPr>
                    <w:rFonts w:ascii="Decos Code 39" w:hAnsi="Decos Code 39"/>
                    <w:sz w:val="72"/>
                    <w:szCs w:val="72"/>
                  </w:rPr>
                  <w:t>*</w:t>
                </w:r>
                <w:r>
                  <w:rPr>
                    <w:rFonts w:ascii="Decos Code 39" w:hAnsi="Decos Code 39"/>
                    <w:sz w:val="72"/>
                    <w:szCs w:val="72"/>
                  </w:rPr>
                  <w:fldChar w:fldCharType="end"/>
                </w:r>
                <w:r w:rsidR="0094371E" w:rsidRPr="0094371E">
                  <w:rPr>
                    <w:sz w:val="72"/>
                    <w:szCs w:val="72"/>
                  </w:rPr>
                  <w:t xml:space="preserve"> </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E478AA"/>
    <w:multiLevelType w:val="hybridMultilevel"/>
    <w:tmpl w:val="D410F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357"/>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D6B"/>
    <w:rsid w:val="00005F71"/>
    <w:rsid w:val="00021935"/>
    <w:rsid w:val="00062C05"/>
    <w:rsid w:val="0008585E"/>
    <w:rsid w:val="000A5883"/>
    <w:rsid w:val="000B2077"/>
    <w:rsid w:val="000C5C20"/>
    <w:rsid w:val="000D77BA"/>
    <w:rsid w:val="000E2B0D"/>
    <w:rsid w:val="000E3638"/>
    <w:rsid w:val="000E713B"/>
    <w:rsid w:val="000E7FB7"/>
    <w:rsid w:val="001242B9"/>
    <w:rsid w:val="00130185"/>
    <w:rsid w:val="001355CE"/>
    <w:rsid w:val="001644FF"/>
    <w:rsid w:val="00172965"/>
    <w:rsid w:val="001A13A4"/>
    <w:rsid w:val="001C1955"/>
    <w:rsid w:val="001D0273"/>
    <w:rsid w:val="001F0271"/>
    <w:rsid w:val="001F21DD"/>
    <w:rsid w:val="001F6DD5"/>
    <w:rsid w:val="00215498"/>
    <w:rsid w:val="002420F7"/>
    <w:rsid w:val="00252384"/>
    <w:rsid w:val="00255ACE"/>
    <w:rsid w:val="002807C2"/>
    <w:rsid w:val="00284EA9"/>
    <w:rsid w:val="002963DA"/>
    <w:rsid w:val="002C545B"/>
    <w:rsid w:val="002D55B4"/>
    <w:rsid w:val="00302561"/>
    <w:rsid w:val="003154EC"/>
    <w:rsid w:val="00352D94"/>
    <w:rsid w:val="0035694F"/>
    <w:rsid w:val="0037608E"/>
    <w:rsid w:val="00384968"/>
    <w:rsid w:val="0038621B"/>
    <w:rsid w:val="00386BF2"/>
    <w:rsid w:val="003A30DF"/>
    <w:rsid w:val="003A6209"/>
    <w:rsid w:val="003B3516"/>
    <w:rsid w:val="003B4F70"/>
    <w:rsid w:val="003E379A"/>
    <w:rsid w:val="0041516D"/>
    <w:rsid w:val="004237EF"/>
    <w:rsid w:val="00427DEC"/>
    <w:rsid w:val="004315F1"/>
    <w:rsid w:val="00443D40"/>
    <w:rsid w:val="004609C3"/>
    <w:rsid w:val="004633FC"/>
    <w:rsid w:val="004B1F61"/>
    <w:rsid w:val="004E136E"/>
    <w:rsid w:val="004E2FFE"/>
    <w:rsid w:val="005040B5"/>
    <w:rsid w:val="0052183C"/>
    <w:rsid w:val="00523FAF"/>
    <w:rsid w:val="00536C28"/>
    <w:rsid w:val="0055224B"/>
    <w:rsid w:val="00564EF5"/>
    <w:rsid w:val="005765D0"/>
    <w:rsid w:val="00592351"/>
    <w:rsid w:val="005E026F"/>
    <w:rsid w:val="005E3560"/>
    <w:rsid w:val="005E4C6A"/>
    <w:rsid w:val="00611FA6"/>
    <w:rsid w:val="00617F46"/>
    <w:rsid w:val="00642DDA"/>
    <w:rsid w:val="0065106A"/>
    <w:rsid w:val="00661914"/>
    <w:rsid w:val="00666D6B"/>
    <w:rsid w:val="00670BB1"/>
    <w:rsid w:val="00673038"/>
    <w:rsid w:val="0068742D"/>
    <w:rsid w:val="006979F2"/>
    <w:rsid w:val="00706C67"/>
    <w:rsid w:val="00721228"/>
    <w:rsid w:val="0072607A"/>
    <w:rsid w:val="0074237E"/>
    <w:rsid w:val="00742733"/>
    <w:rsid w:val="00776DF7"/>
    <w:rsid w:val="00790197"/>
    <w:rsid w:val="00815781"/>
    <w:rsid w:val="008177AC"/>
    <w:rsid w:val="00837E9D"/>
    <w:rsid w:val="008A2F89"/>
    <w:rsid w:val="00942AE3"/>
    <w:rsid w:val="0094371E"/>
    <w:rsid w:val="00954D32"/>
    <w:rsid w:val="009D4E63"/>
    <w:rsid w:val="009E7A8C"/>
    <w:rsid w:val="009F1615"/>
    <w:rsid w:val="00A1659D"/>
    <w:rsid w:val="00A20E0A"/>
    <w:rsid w:val="00A45E81"/>
    <w:rsid w:val="00A86473"/>
    <w:rsid w:val="00A9519F"/>
    <w:rsid w:val="00A970BA"/>
    <w:rsid w:val="00AB45F6"/>
    <w:rsid w:val="00AC5657"/>
    <w:rsid w:val="00AE4306"/>
    <w:rsid w:val="00AE6EE5"/>
    <w:rsid w:val="00AF08F2"/>
    <w:rsid w:val="00B006EE"/>
    <w:rsid w:val="00B34B29"/>
    <w:rsid w:val="00B41AC4"/>
    <w:rsid w:val="00B5092C"/>
    <w:rsid w:val="00BA2DA0"/>
    <w:rsid w:val="00BC237B"/>
    <w:rsid w:val="00BE3CFA"/>
    <w:rsid w:val="00C21C32"/>
    <w:rsid w:val="00C653EB"/>
    <w:rsid w:val="00C65746"/>
    <w:rsid w:val="00C90E6F"/>
    <w:rsid w:val="00C95BFC"/>
    <w:rsid w:val="00CA029E"/>
    <w:rsid w:val="00CA6E28"/>
    <w:rsid w:val="00D317B7"/>
    <w:rsid w:val="00DF1459"/>
    <w:rsid w:val="00DF3E6C"/>
    <w:rsid w:val="00E04E1C"/>
    <w:rsid w:val="00E264FE"/>
    <w:rsid w:val="00E735DB"/>
    <w:rsid w:val="00E85FEE"/>
    <w:rsid w:val="00E86A55"/>
    <w:rsid w:val="00EB2CC4"/>
    <w:rsid w:val="00EC7D73"/>
    <w:rsid w:val="00ED1AE6"/>
    <w:rsid w:val="00EE3D38"/>
    <w:rsid w:val="00F1112E"/>
    <w:rsid w:val="00F15E68"/>
    <w:rsid w:val="00F33DE4"/>
    <w:rsid w:val="00F358CD"/>
    <w:rsid w:val="00F442D4"/>
    <w:rsid w:val="00F76E3F"/>
    <w:rsid w:val="00F81ABF"/>
    <w:rsid w:val="00F8404B"/>
    <w:rsid w:val="00F91A3C"/>
    <w:rsid w:val="00FA2715"/>
    <w:rsid w:val="00FE65C5"/>
    <w:rsid w:val="00FE7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087080"/>
  <w15:docId w15:val="{AB02D162-9E6B-40A8-8AEF-B60BE1B9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1F61"/>
    <w:pPr>
      <w:spacing w:line="276" w:lineRule="auto"/>
    </w:pPr>
    <w:rPr>
      <w:sz w:val="18"/>
      <w:szCs w:val="22"/>
      <w:lang w:eastAsia="en-US"/>
    </w:rPr>
  </w:style>
  <w:style w:type="paragraph" w:styleId="Kop1">
    <w:name w:val="heading 1"/>
    <w:basedOn w:val="Standaard"/>
    <w:next w:val="Standaard"/>
    <w:link w:val="Kop1Char"/>
    <w:uiPriority w:val="9"/>
    <w:rsid w:val="001A13A4"/>
    <w:pPr>
      <w:keepNext/>
      <w:keepLines/>
      <w:spacing w:before="480"/>
      <w:outlineLvl w:val="0"/>
    </w:pPr>
    <w:rPr>
      <w:rFonts w:eastAsia="Times New Roman"/>
      <w:b/>
      <w:bCs/>
      <w:color w:val="000000"/>
      <w:sz w:val="28"/>
      <w:szCs w:val="28"/>
    </w:rPr>
  </w:style>
  <w:style w:type="paragraph" w:styleId="Kop2">
    <w:name w:val="heading 2"/>
    <w:basedOn w:val="Standaard"/>
    <w:next w:val="Standaard"/>
    <w:link w:val="Kop2Char"/>
    <w:uiPriority w:val="9"/>
    <w:semiHidden/>
    <w:unhideWhenUsed/>
    <w:rsid w:val="001A13A4"/>
    <w:pPr>
      <w:keepNext/>
      <w:keepLines/>
      <w:spacing w:before="200"/>
      <w:outlineLvl w:val="1"/>
    </w:pPr>
    <w:rPr>
      <w:rFonts w:eastAsia="Times New Roman"/>
      <w:b/>
      <w:bCs/>
      <w:color w:val="0000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basedOn w:val="Standaardalinea-lettertype"/>
    <w:uiPriority w:val="19"/>
    <w:qFormat/>
    <w:rsid w:val="0008585E"/>
    <w:rPr>
      <w:rFonts w:ascii="Verdana" w:hAnsi="Verdana"/>
      <w:iCs/>
      <w:color w:val="000000"/>
      <w:sz w:val="12"/>
    </w:rPr>
  </w:style>
  <w:style w:type="paragraph" w:styleId="Ondertitel">
    <w:name w:val="Subtitle"/>
    <w:basedOn w:val="Standaard"/>
    <w:next w:val="Standaard"/>
    <w:link w:val="OndertitelChar"/>
    <w:uiPriority w:val="11"/>
    <w:rsid w:val="001A13A4"/>
    <w:pPr>
      <w:numPr>
        <w:ilvl w:val="1"/>
      </w:numPr>
    </w:pPr>
    <w:rPr>
      <w:rFonts w:eastAsia="Times New Roman"/>
      <w:i/>
      <w:iCs/>
      <w:color w:val="000000"/>
      <w:spacing w:val="15"/>
      <w:sz w:val="24"/>
      <w:szCs w:val="24"/>
    </w:rPr>
  </w:style>
  <w:style w:type="character" w:customStyle="1" w:styleId="OndertitelChar">
    <w:name w:val="Ondertitel Char"/>
    <w:basedOn w:val="Standaardalinea-lettertype"/>
    <w:link w:val="Ondertitel"/>
    <w:uiPriority w:val="11"/>
    <w:rsid w:val="001A13A4"/>
    <w:rPr>
      <w:rFonts w:ascii="Verdana" w:eastAsia="Times New Roman" w:hAnsi="Verdana" w:cs="Times New Roman"/>
      <w:i/>
      <w:iCs/>
      <w:color w:val="000000"/>
      <w:spacing w:val="15"/>
      <w:sz w:val="24"/>
      <w:szCs w:val="24"/>
    </w:rPr>
  </w:style>
  <w:style w:type="paragraph" w:styleId="Geenafstand">
    <w:name w:val="No Spacing"/>
    <w:basedOn w:val="Standaard"/>
    <w:next w:val="Standaard"/>
    <w:uiPriority w:val="1"/>
    <w:rsid w:val="0008585E"/>
    <w:pPr>
      <w:spacing w:line="180" w:lineRule="exact"/>
    </w:pPr>
    <w:rPr>
      <w:color w:val="000000"/>
      <w:sz w:val="12"/>
    </w:rPr>
  </w:style>
  <w:style w:type="character" w:customStyle="1" w:styleId="Kop1Char">
    <w:name w:val="Kop 1 Char"/>
    <w:basedOn w:val="Standaardalinea-lettertype"/>
    <w:link w:val="Kop1"/>
    <w:uiPriority w:val="9"/>
    <w:rsid w:val="001A13A4"/>
    <w:rPr>
      <w:rFonts w:ascii="Verdana" w:eastAsia="Times New Roman" w:hAnsi="Verdana" w:cs="Times New Roman"/>
      <w:b/>
      <w:bCs/>
      <w:color w:val="000000"/>
      <w:sz w:val="28"/>
      <w:szCs w:val="28"/>
    </w:rPr>
  </w:style>
  <w:style w:type="character" w:customStyle="1" w:styleId="Kop2Char">
    <w:name w:val="Kop 2 Char"/>
    <w:basedOn w:val="Standaardalinea-lettertype"/>
    <w:link w:val="Kop2"/>
    <w:uiPriority w:val="9"/>
    <w:semiHidden/>
    <w:rsid w:val="001A13A4"/>
    <w:rPr>
      <w:rFonts w:ascii="Verdana" w:eastAsia="Times New Roman" w:hAnsi="Verdana" w:cs="Times New Roman"/>
      <w:b/>
      <w:bCs/>
      <w:color w:val="000000"/>
      <w:sz w:val="26"/>
      <w:szCs w:val="26"/>
    </w:rPr>
  </w:style>
  <w:style w:type="paragraph" w:styleId="Titel">
    <w:name w:val="Title"/>
    <w:basedOn w:val="Standaard"/>
    <w:next w:val="Standaard"/>
    <w:link w:val="TitelChar"/>
    <w:uiPriority w:val="10"/>
    <w:rsid w:val="001A13A4"/>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elChar">
    <w:name w:val="Titel Char"/>
    <w:basedOn w:val="Standaardalinea-lettertype"/>
    <w:link w:val="Titel"/>
    <w:uiPriority w:val="10"/>
    <w:rsid w:val="001A13A4"/>
    <w:rPr>
      <w:rFonts w:ascii="Verdana" w:eastAsia="Times New Roman" w:hAnsi="Verdana" w:cs="Times New Roman"/>
      <w:color w:val="000000"/>
      <w:spacing w:val="5"/>
      <w:kern w:val="28"/>
      <w:sz w:val="52"/>
      <w:szCs w:val="52"/>
    </w:rPr>
  </w:style>
  <w:style w:type="paragraph" w:customStyle="1" w:styleId="Kopjes">
    <w:name w:val="Kopjes"/>
    <w:basedOn w:val="Standaard"/>
    <w:next w:val="Standaard"/>
    <w:qFormat/>
    <w:rsid w:val="00C65746"/>
    <w:rPr>
      <w:sz w:val="12"/>
    </w:rPr>
  </w:style>
  <w:style w:type="paragraph" w:customStyle="1" w:styleId="Adressering">
    <w:name w:val="Adressering"/>
    <w:basedOn w:val="Standaard"/>
    <w:next w:val="Standaard"/>
    <w:qFormat/>
    <w:rsid w:val="00C65746"/>
    <w:pPr>
      <w:spacing w:line="180" w:lineRule="exact"/>
    </w:pPr>
    <w:rPr>
      <w:sz w:val="12"/>
    </w:rPr>
  </w:style>
  <w:style w:type="paragraph" w:customStyle="1" w:styleId="Hoofdkop">
    <w:name w:val="Hoofdkop"/>
    <w:basedOn w:val="Standaard"/>
    <w:qFormat/>
    <w:rsid w:val="004315F1"/>
    <w:pPr>
      <w:spacing w:after="300" w:line="240" w:lineRule="auto"/>
    </w:pPr>
    <w:rPr>
      <w:b/>
      <w:sz w:val="28"/>
    </w:rPr>
  </w:style>
  <w:style w:type="paragraph" w:customStyle="1" w:styleId="Tussenkopjes">
    <w:name w:val="Tussenkopjes"/>
    <w:basedOn w:val="Kopjes"/>
    <w:next w:val="Standaard"/>
    <w:qFormat/>
    <w:rsid w:val="004315F1"/>
    <w:pPr>
      <w:spacing w:line="300" w:lineRule="exact"/>
    </w:pPr>
    <w:rPr>
      <w:b/>
      <w:sz w:val="20"/>
    </w:rPr>
  </w:style>
  <w:style w:type="paragraph" w:styleId="Koptekst">
    <w:name w:val="header"/>
    <w:basedOn w:val="Standaard"/>
    <w:link w:val="KoptekstChar"/>
    <w:uiPriority w:val="99"/>
    <w:semiHidden/>
    <w:unhideWhenUsed/>
    <w:rsid w:val="00721228"/>
    <w:pPr>
      <w:tabs>
        <w:tab w:val="center" w:pos="4536"/>
        <w:tab w:val="right" w:pos="9072"/>
      </w:tabs>
    </w:pPr>
  </w:style>
  <w:style w:type="character" w:customStyle="1" w:styleId="KoptekstChar">
    <w:name w:val="Koptekst Char"/>
    <w:basedOn w:val="Standaardalinea-lettertype"/>
    <w:link w:val="Koptekst"/>
    <w:uiPriority w:val="99"/>
    <w:semiHidden/>
    <w:rsid w:val="00721228"/>
    <w:rPr>
      <w:sz w:val="18"/>
      <w:szCs w:val="22"/>
      <w:lang w:eastAsia="en-US"/>
    </w:rPr>
  </w:style>
  <w:style w:type="paragraph" w:styleId="Voettekst">
    <w:name w:val="footer"/>
    <w:basedOn w:val="Standaard"/>
    <w:link w:val="VoettekstChar"/>
    <w:uiPriority w:val="99"/>
    <w:unhideWhenUsed/>
    <w:rsid w:val="00721228"/>
    <w:pPr>
      <w:tabs>
        <w:tab w:val="center" w:pos="4536"/>
        <w:tab w:val="right" w:pos="9072"/>
      </w:tabs>
    </w:pPr>
  </w:style>
  <w:style w:type="character" w:customStyle="1" w:styleId="VoettekstChar">
    <w:name w:val="Voettekst Char"/>
    <w:basedOn w:val="Standaardalinea-lettertype"/>
    <w:link w:val="Voettekst"/>
    <w:uiPriority w:val="99"/>
    <w:rsid w:val="00721228"/>
    <w:rPr>
      <w:sz w:val="18"/>
      <w:szCs w:val="22"/>
      <w:lang w:eastAsia="en-US"/>
    </w:rPr>
  </w:style>
  <w:style w:type="table" w:styleId="Tabelraster">
    <w:name w:val="Table Grid"/>
    <w:basedOn w:val="Standaardtabel"/>
    <w:uiPriority w:val="59"/>
    <w:rsid w:val="00B34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vantijdelijkeaanduiding">
    <w:name w:val="Placeholder Text"/>
    <w:basedOn w:val="Standaardalinea-lettertype"/>
    <w:uiPriority w:val="99"/>
    <w:semiHidden/>
    <w:rsid w:val="000E713B"/>
    <w:rPr>
      <w:color w:val="808080"/>
    </w:rPr>
  </w:style>
  <w:style w:type="paragraph" w:styleId="Ballontekst">
    <w:name w:val="Balloon Text"/>
    <w:basedOn w:val="Standaard"/>
    <w:link w:val="BallontekstChar"/>
    <w:uiPriority w:val="99"/>
    <w:semiHidden/>
    <w:unhideWhenUsed/>
    <w:rsid w:val="000E713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13B"/>
    <w:rPr>
      <w:rFonts w:ascii="Tahoma" w:hAnsi="Tahoma" w:cs="Tahoma"/>
      <w:sz w:val="16"/>
      <w:szCs w:val="16"/>
      <w:lang w:eastAsia="en-US"/>
    </w:rPr>
  </w:style>
  <w:style w:type="paragraph" w:customStyle="1" w:styleId="OpmaakprofielLatijnsVerdana10ptNa0pt1">
    <w:name w:val="Opmaakprofiel (Latijns) Verdana 10 pt Na:  0 pt1"/>
    <w:basedOn w:val="Standaard"/>
    <w:qFormat/>
    <w:rsid w:val="0041516D"/>
    <w:pPr>
      <w:spacing w:line="240" w:lineRule="auto"/>
    </w:pPr>
    <w:rPr>
      <w:rFonts w:eastAsia="Times New Roman"/>
      <w:sz w:val="20"/>
      <w:szCs w:val="20"/>
    </w:rPr>
  </w:style>
  <w:style w:type="paragraph" w:styleId="Lijstalinea">
    <w:name w:val="List Paragraph"/>
    <w:basedOn w:val="Standaard"/>
    <w:uiPriority w:val="34"/>
    <w:rsid w:val="00617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20156">
      <w:bodyDiv w:val="1"/>
      <w:marLeft w:val="0"/>
      <w:marRight w:val="0"/>
      <w:marTop w:val="0"/>
      <w:marBottom w:val="0"/>
      <w:divBdr>
        <w:top w:val="none" w:sz="0" w:space="0" w:color="auto"/>
        <w:left w:val="none" w:sz="0" w:space="0" w:color="auto"/>
        <w:bottom w:val="none" w:sz="0" w:space="0" w:color="auto"/>
        <w:right w:val="none" w:sz="0" w:space="0" w:color="auto"/>
      </w:divBdr>
    </w:div>
    <w:div w:id="933585198">
      <w:bodyDiv w:val="1"/>
      <w:marLeft w:val="0"/>
      <w:marRight w:val="0"/>
      <w:marTop w:val="0"/>
      <w:marBottom w:val="0"/>
      <w:divBdr>
        <w:top w:val="none" w:sz="0" w:space="0" w:color="auto"/>
        <w:left w:val="none" w:sz="0" w:space="0" w:color="auto"/>
        <w:bottom w:val="none" w:sz="0" w:space="0" w:color="auto"/>
        <w:right w:val="none" w:sz="0" w:space="0" w:color="auto"/>
      </w:divBdr>
    </w:div>
    <w:div w:id="1473015372">
      <w:bodyDiv w:val="1"/>
      <w:marLeft w:val="0"/>
      <w:marRight w:val="0"/>
      <w:marTop w:val="0"/>
      <w:marBottom w:val="0"/>
      <w:divBdr>
        <w:top w:val="none" w:sz="0" w:space="0" w:color="auto"/>
        <w:left w:val="none" w:sz="0" w:space="0" w:color="auto"/>
        <w:bottom w:val="none" w:sz="0" w:space="0" w:color="auto"/>
        <w:right w:val="none" w:sz="0" w:space="0" w:color="auto"/>
      </w:divBdr>
    </w:div>
    <w:div w:id="16861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A2FBC2AB81479B815D852FFA4F61C1"/>
        <w:category>
          <w:name w:val="Algemeen"/>
          <w:gallery w:val="placeholder"/>
        </w:category>
        <w:types>
          <w:type w:val="bbPlcHdr"/>
        </w:types>
        <w:behaviors>
          <w:behavior w:val="content"/>
        </w:behaviors>
        <w:guid w:val="{913001F2-D5B6-4F93-A073-49E8535EC7C4}"/>
      </w:docPartPr>
      <w:docPartBody>
        <w:p w:rsidR="00A53A9A" w:rsidRDefault="001E6861" w:rsidP="001E6861">
          <w:pPr>
            <w:pStyle w:val="EDA2FBC2AB81479B815D852FFA4F61C1"/>
          </w:pPr>
          <w:r>
            <w:rPr>
              <w:rStyle w:val="Tekstvantijdelijkeaanduiding"/>
            </w:rPr>
            <w:t>Vul nummer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cos Code 39">
    <w:panose1 w:val="00000409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6861"/>
    <w:rsid w:val="0003003B"/>
    <w:rsid w:val="000B2A9D"/>
    <w:rsid w:val="001E6861"/>
    <w:rsid w:val="002B1733"/>
    <w:rsid w:val="003440A3"/>
    <w:rsid w:val="003B026B"/>
    <w:rsid w:val="00591F7C"/>
    <w:rsid w:val="00602496"/>
    <w:rsid w:val="008D08B5"/>
    <w:rsid w:val="008D090F"/>
    <w:rsid w:val="00904D2A"/>
    <w:rsid w:val="009D3FD6"/>
    <w:rsid w:val="00A53A9A"/>
    <w:rsid w:val="00BA6C0F"/>
    <w:rsid w:val="00C426AB"/>
    <w:rsid w:val="00D3283B"/>
    <w:rsid w:val="00EE258F"/>
    <w:rsid w:val="00EF1D33"/>
    <w:rsid w:val="00FD6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3A9A"/>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E6861"/>
    <w:rPr>
      <w:color w:val="808080"/>
    </w:rPr>
  </w:style>
  <w:style w:type="paragraph" w:customStyle="1" w:styleId="EDA2FBC2AB81479B815D852FFA4F61C1">
    <w:name w:val="EDA2FBC2AB81479B815D852FFA4F61C1"/>
    <w:rsid w:val="001E6861"/>
    <w:pPr>
      <w:spacing w:after="0"/>
    </w:pPr>
    <w:rPr>
      <w:rFonts w:ascii="Verdana" w:eastAsia="Verdana" w:hAnsi="Verdana" w:cs="Times New Roman"/>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332C-1CC4-480D-A6E1-25315357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Gemeente Bodegraven-Reeuwijk</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Afdeling I&amp;A</dc:creator>
  <dc:description>*</dc:description>
  <cp:lastModifiedBy>Aminta Guarracino</cp:lastModifiedBy>
  <cp:revision>2</cp:revision>
  <dcterms:created xsi:type="dcterms:W3CDTF">2021-03-09T12:59:00Z</dcterms:created>
  <dcterms:modified xsi:type="dcterms:W3CDTF">2021-03-09T12:59:00Z</dcterms:modified>
</cp:coreProperties>
</file>